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CB390" w14:textId="73B22D52" w:rsidR="00B452B3" w:rsidRPr="001C48BA" w:rsidRDefault="00B452B3" w:rsidP="00B452B3">
      <w:pPr>
        <w:rPr>
          <w:rFonts w:ascii="Harlow Solid Italic" w:hAnsi="Harlow Solid Italic"/>
          <w:sz w:val="22"/>
          <w:szCs w:val="22"/>
        </w:rPr>
      </w:pPr>
    </w:p>
    <w:p w14:paraId="23B17681" w14:textId="4641B81F" w:rsidR="00A41F95" w:rsidRDefault="00A41F95" w:rsidP="003E772B">
      <w:pPr>
        <w:rPr>
          <w:b/>
          <w:noProof/>
          <w:sz w:val="22"/>
          <w:szCs w:val="22"/>
        </w:rPr>
      </w:pPr>
      <w:r w:rsidRPr="001C48BA">
        <w:rPr>
          <w:rFonts w:ascii="Calibri" w:hAnsi="Calibri"/>
          <w:b/>
          <w:sz w:val="22"/>
          <w:szCs w:val="22"/>
          <w:u w:val="single"/>
        </w:rPr>
        <w:t>Escrick Church of England</w:t>
      </w:r>
      <w:r w:rsidR="00903AC6" w:rsidRPr="001C48BA">
        <w:rPr>
          <w:b/>
          <w:noProof/>
          <w:sz w:val="22"/>
          <w:szCs w:val="22"/>
        </w:rPr>
        <w:t xml:space="preserve"> </w:t>
      </w:r>
    </w:p>
    <w:p w14:paraId="624159CC" w14:textId="77777777" w:rsidR="007F0BF1" w:rsidRPr="001C48BA" w:rsidRDefault="007F0BF1" w:rsidP="003E772B">
      <w:pPr>
        <w:rPr>
          <w:rFonts w:ascii="Harlow Solid Italic" w:hAnsi="Harlow Solid Italic"/>
          <w:b/>
          <w:i/>
          <w:sz w:val="22"/>
          <w:szCs w:val="22"/>
        </w:rPr>
      </w:pPr>
    </w:p>
    <w:p w14:paraId="6A1BE882" w14:textId="700B750B" w:rsidR="00B452B3" w:rsidRPr="001C48BA" w:rsidRDefault="008C29EC" w:rsidP="003E772B">
      <w:pPr>
        <w:rPr>
          <w:rFonts w:asciiTheme="majorHAnsi" w:hAnsiTheme="majorHAnsi"/>
          <w:b/>
          <w:sz w:val="22"/>
          <w:szCs w:val="22"/>
        </w:rPr>
      </w:pPr>
      <w:r w:rsidRPr="001C48BA">
        <w:rPr>
          <w:rFonts w:asciiTheme="majorHAnsi" w:hAnsiTheme="majorHAnsi"/>
          <w:b/>
          <w:sz w:val="22"/>
          <w:szCs w:val="22"/>
          <w:u w:val="single"/>
        </w:rPr>
        <w:t>Music</w:t>
      </w:r>
      <w:r w:rsidR="00B452B3" w:rsidRPr="001C48BA">
        <w:rPr>
          <w:rFonts w:asciiTheme="majorHAnsi" w:hAnsiTheme="majorHAnsi"/>
          <w:b/>
          <w:sz w:val="22"/>
          <w:szCs w:val="22"/>
          <w:u w:val="single"/>
        </w:rPr>
        <w:t xml:space="preserve"> Policy</w:t>
      </w:r>
    </w:p>
    <w:p w14:paraId="4BB3C587" w14:textId="77777777" w:rsidR="00B452B3" w:rsidRPr="001C48BA" w:rsidRDefault="00B452B3" w:rsidP="003E772B">
      <w:pPr>
        <w:rPr>
          <w:rFonts w:asciiTheme="majorHAnsi" w:hAnsiTheme="majorHAnsi"/>
          <w:b/>
          <w:i/>
          <w:sz w:val="22"/>
          <w:szCs w:val="22"/>
          <w:u w:val="single"/>
        </w:rPr>
      </w:pPr>
    </w:p>
    <w:p w14:paraId="607C7B25" w14:textId="67265865" w:rsidR="009B6229" w:rsidRPr="001C48BA" w:rsidRDefault="009B6229" w:rsidP="003E772B">
      <w:pPr>
        <w:rPr>
          <w:rFonts w:asciiTheme="majorHAnsi" w:hAnsiTheme="majorHAnsi" w:cstheme="majorHAnsi"/>
          <w:sz w:val="22"/>
          <w:szCs w:val="22"/>
        </w:rPr>
      </w:pPr>
    </w:p>
    <w:p w14:paraId="4519FD86" w14:textId="00708079" w:rsidR="00BA0FF9" w:rsidRPr="001C48BA" w:rsidRDefault="005D37E4" w:rsidP="003E772B">
      <w:pPr>
        <w:rPr>
          <w:rFonts w:asciiTheme="majorHAnsi" w:hAnsiTheme="majorHAnsi" w:cstheme="majorHAnsi"/>
          <w:b/>
          <w:sz w:val="22"/>
          <w:szCs w:val="22"/>
          <w:u w:val="single"/>
        </w:rPr>
      </w:pPr>
      <w:r w:rsidRPr="001C48BA">
        <w:rPr>
          <w:rFonts w:asciiTheme="majorHAnsi" w:hAnsiTheme="majorHAnsi" w:cstheme="majorHAnsi"/>
          <w:b/>
          <w:sz w:val="22"/>
          <w:szCs w:val="22"/>
          <w:u w:val="single"/>
        </w:rPr>
        <w:t>Intent</w:t>
      </w:r>
    </w:p>
    <w:p w14:paraId="6D5BF463" w14:textId="39BD5AF0" w:rsidR="003959E3" w:rsidRPr="001C48BA" w:rsidRDefault="003959E3" w:rsidP="003E772B">
      <w:pPr>
        <w:rPr>
          <w:rFonts w:asciiTheme="majorHAnsi" w:hAnsiTheme="majorHAnsi" w:cstheme="majorHAnsi"/>
          <w:bCs/>
          <w:sz w:val="22"/>
          <w:szCs w:val="22"/>
        </w:rPr>
      </w:pPr>
    </w:p>
    <w:p w14:paraId="1D17AEE3" w14:textId="11E8AA19" w:rsidR="008C29EC" w:rsidRPr="001C48BA" w:rsidRDefault="001046C0" w:rsidP="003E772B">
      <w:pPr>
        <w:rPr>
          <w:rFonts w:asciiTheme="majorHAnsi" w:eastAsiaTheme="minorEastAsia" w:hAnsiTheme="majorHAnsi"/>
          <w:color w:val="000000" w:themeColor="text1"/>
          <w:sz w:val="22"/>
          <w:szCs w:val="22"/>
          <w:bdr w:val="none" w:sz="0" w:space="0" w:color="auto" w:frame="1"/>
        </w:rPr>
      </w:pPr>
      <w:r w:rsidRPr="001C48BA">
        <w:rPr>
          <w:rFonts w:asciiTheme="majorHAnsi" w:hAnsiTheme="majorHAnsi" w:cstheme="majorHAnsi"/>
          <w:bCs/>
          <w:sz w:val="22"/>
          <w:szCs w:val="22"/>
        </w:rPr>
        <w:t xml:space="preserve">At Escrick Primary School, the intention is that children gain a firm understanding of what music is through listening, singing, playing, evaluating and composing across a wide variety </w:t>
      </w:r>
      <w:r w:rsidR="00037505" w:rsidRPr="001C48BA">
        <w:rPr>
          <w:rFonts w:asciiTheme="majorHAnsi" w:hAnsiTheme="majorHAnsi" w:cstheme="majorHAnsi"/>
          <w:bCs/>
          <w:sz w:val="22"/>
          <w:szCs w:val="22"/>
        </w:rPr>
        <w:t xml:space="preserve">of musical genres. </w:t>
      </w:r>
      <w:r w:rsidR="006A4BD9" w:rsidRPr="001C48BA">
        <w:rPr>
          <w:rFonts w:asciiTheme="majorHAnsi" w:hAnsiTheme="majorHAnsi" w:cstheme="majorHAnsi"/>
          <w:bCs/>
          <w:sz w:val="22"/>
          <w:szCs w:val="22"/>
        </w:rPr>
        <w:t>We provide opportunities in music which encourage creativity and self-expression</w:t>
      </w:r>
      <w:r w:rsidR="00A304C8" w:rsidRPr="001C48BA">
        <w:rPr>
          <w:rFonts w:asciiTheme="majorHAnsi" w:hAnsiTheme="majorHAnsi" w:cstheme="majorHAnsi"/>
          <w:bCs/>
          <w:sz w:val="22"/>
          <w:szCs w:val="22"/>
        </w:rPr>
        <w:t xml:space="preserve">, </w:t>
      </w:r>
      <w:r w:rsidR="006A4BD9" w:rsidRPr="001C48BA">
        <w:rPr>
          <w:rFonts w:asciiTheme="majorHAnsi" w:hAnsiTheme="majorHAnsi" w:cstheme="majorHAnsi"/>
          <w:bCs/>
          <w:sz w:val="22"/>
          <w:szCs w:val="22"/>
        </w:rPr>
        <w:t xml:space="preserve">whilst also developing children’s confidence. We are committed to ensuring children appreciate music and can use their musical skills, knowledge, experiences to involve themselves in a variety of different contexts across school and the wider community. </w:t>
      </w:r>
    </w:p>
    <w:p w14:paraId="1291637F" w14:textId="6EA2C50B" w:rsidR="008C29EC" w:rsidRPr="001C48BA" w:rsidRDefault="008C29EC" w:rsidP="003E772B">
      <w:pPr>
        <w:rPr>
          <w:rFonts w:asciiTheme="majorHAnsi" w:eastAsiaTheme="minorEastAsia" w:hAnsiTheme="majorHAnsi"/>
          <w:color w:val="000000" w:themeColor="text1"/>
          <w:sz w:val="22"/>
          <w:szCs w:val="22"/>
          <w:bdr w:val="none" w:sz="0" w:space="0" w:color="auto" w:frame="1"/>
        </w:rPr>
      </w:pPr>
    </w:p>
    <w:p w14:paraId="2091477E" w14:textId="77777777" w:rsidR="005D6735" w:rsidRPr="001C48BA" w:rsidRDefault="005D6735" w:rsidP="001B4E33">
      <w:pPr>
        <w:widowControl w:val="0"/>
        <w:tabs>
          <w:tab w:val="left" w:pos="220"/>
          <w:tab w:val="left" w:pos="720"/>
        </w:tabs>
        <w:autoSpaceDE w:val="0"/>
        <w:autoSpaceDN w:val="0"/>
        <w:adjustRightInd w:val="0"/>
        <w:rPr>
          <w:rFonts w:asciiTheme="majorHAnsi" w:hAnsiTheme="majorHAnsi"/>
          <w:b/>
          <w:sz w:val="22"/>
          <w:szCs w:val="22"/>
          <w:u w:val="single"/>
        </w:rPr>
      </w:pPr>
    </w:p>
    <w:p w14:paraId="633B4B13" w14:textId="54998507" w:rsidR="001B4E33" w:rsidRPr="001C48BA" w:rsidRDefault="001B4E33" w:rsidP="001B4E33">
      <w:pPr>
        <w:widowControl w:val="0"/>
        <w:tabs>
          <w:tab w:val="left" w:pos="220"/>
          <w:tab w:val="left" w:pos="720"/>
        </w:tabs>
        <w:autoSpaceDE w:val="0"/>
        <w:autoSpaceDN w:val="0"/>
        <w:adjustRightInd w:val="0"/>
        <w:rPr>
          <w:rFonts w:asciiTheme="majorHAnsi" w:hAnsiTheme="majorHAnsi"/>
          <w:b/>
          <w:sz w:val="22"/>
          <w:szCs w:val="22"/>
          <w:u w:val="single"/>
        </w:rPr>
      </w:pPr>
      <w:r w:rsidRPr="001C48BA">
        <w:rPr>
          <w:rFonts w:asciiTheme="majorHAnsi" w:hAnsiTheme="majorHAnsi"/>
          <w:b/>
          <w:sz w:val="22"/>
          <w:szCs w:val="22"/>
          <w:u w:val="single"/>
        </w:rPr>
        <w:t>Planning and implementation</w:t>
      </w:r>
    </w:p>
    <w:p w14:paraId="63819A98" w14:textId="0CBC0DD1" w:rsidR="00C040DD" w:rsidRPr="001C48BA" w:rsidRDefault="00C040DD" w:rsidP="005D37E4">
      <w:pPr>
        <w:textAlignment w:val="top"/>
        <w:rPr>
          <w:rFonts w:asciiTheme="majorHAnsi" w:eastAsiaTheme="minorEastAsia" w:hAnsiTheme="majorHAnsi" w:cs="Arial"/>
          <w:color w:val="000000" w:themeColor="text1"/>
          <w:sz w:val="22"/>
          <w:szCs w:val="22"/>
          <w:bdr w:val="none" w:sz="0" w:space="0" w:color="auto" w:frame="1"/>
        </w:rPr>
      </w:pPr>
    </w:p>
    <w:p w14:paraId="620713AE" w14:textId="5A621B60" w:rsidR="001C48BA" w:rsidRPr="001C48BA" w:rsidRDefault="001C48BA" w:rsidP="005D37E4">
      <w:pPr>
        <w:textAlignment w:val="top"/>
        <w:rPr>
          <w:rFonts w:asciiTheme="majorHAnsi" w:eastAsiaTheme="minorEastAsia" w:hAnsiTheme="majorHAnsi" w:cs="Arial"/>
          <w:color w:val="000000" w:themeColor="text1"/>
          <w:sz w:val="22"/>
          <w:szCs w:val="22"/>
          <w:bdr w:val="none" w:sz="0" w:space="0" w:color="auto" w:frame="1"/>
        </w:rPr>
      </w:pPr>
      <w:r w:rsidRPr="001C48BA">
        <w:rPr>
          <w:rFonts w:asciiTheme="majorHAnsi" w:eastAsiaTheme="minorEastAsia" w:hAnsiTheme="majorHAnsi" w:cs="Arial"/>
          <w:color w:val="000000" w:themeColor="text1"/>
          <w:sz w:val="22"/>
          <w:szCs w:val="22"/>
          <w:bdr w:val="none" w:sz="0" w:space="0" w:color="auto" w:frame="1"/>
        </w:rPr>
        <w:t>We have adapted the Charanga scheme to create a bespoke long-term plan for our school, where units are designed to fit the context of our classes. This ensures the learning of musical knowledge and skills is sequential from EYFS to Year 6, and National Curriculum aims are met. Within each unit, learning is based around focus songs. Music lessons then draw out a range of musical elements by interacting with and exploring these songs, including:</w:t>
      </w:r>
    </w:p>
    <w:p w14:paraId="1AA59D6C" w14:textId="77777777" w:rsidR="001C48BA" w:rsidRPr="001C48BA" w:rsidRDefault="001C48BA" w:rsidP="005D37E4">
      <w:pPr>
        <w:textAlignment w:val="top"/>
        <w:rPr>
          <w:rFonts w:asciiTheme="majorHAnsi" w:eastAsiaTheme="minorEastAsia" w:hAnsiTheme="majorHAnsi" w:cs="Arial"/>
          <w:color w:val="000000" w:themeColor="text1"/>
          <w:sz w:val="22"/>
          <w:szCs w:val="22"/>
          <w:bdr w:val="none" w:sz="0" w:space="0" w:color="auto" w:frame="1"/>
        </w:rPr>
      </w:pPr>
    </w:p>
    <w:p w14:paraId="256AC299" w14:textId="3808DD14" w:rsidR="00D267C8" w:rsidRPr="001C48BA" w:rsidRDefault="001C48BA" w:rsidP="001C48BA">
      <w:pPr>
        <w:pStyle w:val="ListParagraph"/>
        <w:numPr>
          <w:ilvl w:val="0"/>
          <w:numId w:val="10"/>
        </w:numPr>
        <w:textAlignment w:val="top"/>
        <w:rPr>
          <w:rFonts w:asciiTheme="majorHAnsi" w:eastAsiaTheme="minorEastAsia" w:hAnsiTheme="majorHAnsi" w:cs="Arial"/>
          <w:color w:val="000000" w:themeColor="text1"/>
          <w:bdr w:val="none" w:sz="0" w:space="0" w:color="auto" w:frame="1"/>
        </w:rPr>
      </w:pPr>
      <w:r w:rsidRPr="001C48BA">
        <w:rPr>
          <w:rFonts w:asciiTheme="majorHAnsi" w:eastAsiaTheme="minorEastAsia" w:hAnsiTheme="majorHAnsi" w:cs="Arial"/>
          <w:b/>
          <w:color w:val="000000" w:themeColor="text1"/>
          <w:bdr w:val="none" w:sz="0" w:space="0" w:color="auto" w:frame="1"/>
        </w:rPr>
        <w:t>Listening and appraising</w:t>
      </w:r>
      <w:r w:rsidRPr="001C48BA">
        <w:rPr>
          <w:rFonts w:asciiTheme="majorHAnsi" w:eastAsiaTheme="minorEastAsia" w:hAnsiTheme="majorHAnsi" w:cs="Arial"/>
          <w:color w:val="000000" w:themeColor="text1"/>
          <w:bdr w:val="none" w:sz="0" w:space="0" w:color="auto" w:frame="1"/>
        </w:rPr>
        <w:t xml:space="preserve"> – children are exposed to a range of musical genres throughout the year and contribute to relevant discussions about style, pulse, rhythm, pitch, tempo, dynamics, timbre, texture and structure.</w:t>
      </w:r>
    </w:p>
    <w:p w14:paraId="3A07E5B9" w14:textId="3870728B" w:rsidR="001C48BA" w:rsidRPr="001C48BA" w:rsidRDefault="001C48BA" w:rsidP="001C48BA">
      <w:pPr>
        <w:pStyle w:val="ListParagraph"/>
        <w:numPr>
          <w:ilvl w:val="0"/>
          <w:numId w:val="10"/>
        </w:numPr>
        <w:textAlignment w:val="top"/>
        <w:rPr>
          <w:rFonts w:asciiTheme="majorHAnsi" w:eastAsiaTheme="minorEastAsia" w:hAnsiTheme="majorHAnsi" w:cs="Arial"/>
          <w:color w:val="000000" w:themeColor="text1"/>
          <w:bdr w:val="none" w:sz="0" w:space="0" w:color="auto" w:frame="1"/>
        </w:rPr>
      </w:pPr>
      <w:r w:rsidRPr="001C48BA">
        <w:rPr>
          <w:rFonts w:asciiTheme="majorHAnsi" w:eastAsiaTheme="minorEastAsia" w:hAnsiTheme="majorHAnsi" w:cs="Arial"/>
          <w:b/>
          <w:color w:val="000000" w:themeColor="text1"/>
          <w:bdr w:val="none" w:sz="0" w:space="0" w:color="auto" w:frame="1"/>
        </w:rPr>
        <w:t>Warm-up games</w:t>
      </w:r>
      <w:r w:rsidRPr="001C48BA">
        <w:rPr>
          <w:rFonts w:asciiTheme="majorHAnsi" w:eastAsiaTheme="minorEastAsia" w:hAnsiTheme="majorHAnsi" w:cs="Arial"/>
          <w:color w:val="000000" w:themeColor="text1"/>
          <w:bdr w:val="none" w:sz="0" w:space="0" w:color="auto" w:frame="1"/>
        </w:rPr>
        <w:t xml:space="preserve"> – practical activities to encourage children to use their whole body to explore the music.</w:t>
      </w:r>
    </w:p>
    <w:p w14:paraId="44247B56" w14:textId="1F94DA13" w:rsidR="001C48BA" w:rsidRPr="001C48BA" w:rsidRDefault="001C48BA" w:rsidP="001C48BA">
      <w:pPr>
        <w:pStyle w:val="ListParagraph"/>
        <w:numPr>
          <w:ilvl w:val="0"/>
          <w:numId w:val="10"/>
        </w:numPr>
        <w:textAlignment w:val="top"/>
        <w:rPr>
          <w:rFonts w:asciiTheme="majorHAnsi" w:eastAsiaTheme="minorEastAsia" w:hAnsiTheme="majorHAnsi" w:cs="Arial"/>
          <w:color w:val="000000" w:themeColor="text1"/>
          <w:bdr w:val="none" w:sz="0" w:space="0" w:color="auto" w:frame="1"/>
        </w:rPr>
      </w:pPr>
      <w:r w:rsidRPr="001C48BA">
        <w:rPr>
          <w:rFonts w:asciiTheme="majorHAnsi" w:eastAsiaTheme="minorEastAsia" w:hAnsiTheme="majorHAnsi" w:cs="Arial"/>
          <w:b/>
          <w:color w:val="000000" w:themeColor="text1"/>
          <w:bdr w:val="none" w:sz="0" w:space="0" w:color="auto" w:frame="1"/>
        </w:rPr>
        <w:t>Singing</w:t>
      </w:r>
      <w:r w:rsidRPr="001C48BA">
        <w:rPr>
          <w:rFonts w:asciiTheme="majorHAnsi" w:eastAsiaTheme="minorEastAsia" w:hAnsiTheme="majorHAnsi" w:cs="Arial"/>
          <w:color w:val="000000" w:themeColor="text1"/>
          <w:bdr w:val="none" w:sz="0" w:space="0" w:color="auto" w:frame="1"/>
        </w:rPr>
        <w:t xml:space="preserve"> – rehearsing and performing as individuals or as a group.</w:t>
      </w:r>
    </w:p>
    <w:p w14:paraId="2F7829CF" w14:textId="48F010F8" w:rsidR="001C48BA" w:rsidRPr="001C48BA" w:rsidRDefault="001C48BA" w:rsidP="001C48BA">
      <w:pPr>
        <w:pStyle w:val="ListParagraph"/>
        <w:numPr>
          <w:ilvl w:val="0"/>
          <w:numId w:val="10"/>
        </w:numPr>
        <w:textAlignment w:val="top"/>
        <w:rPr>
          <w:rFonts w:asciiTheme="majorHAnsi" w:eastAsiaTheme="minorEastAsia" w:hAnsiTheme="majorHAnsi" w:cs="Arial"/>
          <w:color w:val="000000" w:themeColor="text1"/>
          <w:bdr w:val="none" w:sz="0" w:space="0" w:color="auto" w:frame="1"/>
        </w:rPr>
      </w:pPr>
      <w:r w:rsidRPr="001C48BA">
        <w:rPr>
          <w:rFonts w:asciiTheme="majorHAnsi" w:eastAsiaTheme="minorEastAsia" w:hAnsiTheme="majorHAnsi" w:cs="Arial"/>
          <w:b/>
          <w:color w:val="000000" w:themeColor="text1"/>
          <w:bdr w:val="none" w:sz="0" w:space="0" w:color="auto" w:frame="1"/>
        </w:rPr>
        <w:t>Playing instruments</w:t>
      </w:r>
      <w:r w:rsidRPr="001C48BA">
        <w:rPr>
          <w:rFonts w:asciiTheme="majorHAnsi" w:eastAsiaTheme="minorEastAsia" w:hAnsiTheme="majorHAnsi" w:cs="Arial"/>
          <w:color w:val="000000" w:themeColor="text1"/>
          <w:bdr w:val="none" w:sz="0" w:space="0" w:color="auto" w:frame="1"/>
        </w:rPr>
        <w:t xml:space="preserve"> – building knowledge of different musical instruments and practical understanding of different musical elements.</w:t>
      </w:r>
    </w:p>
    <w:p w14:paraId="03F84B8D" w14:textId="730C32E0" w:rsidR="001C48BA" w:rsidRPr="001C48BA" w:rsidRDefault="001C48BA" w:rsidP="001C48BA">
      <w:pPr>
        <w:pStyle w:val="ListParagraph"/>
        <w:numPr>
          <w:ilvl w:val="0"/>
          <w:numId w:val="10"/>
        </w:numPr>
        <w:textAlignment w:val="top"/>
        <w:rPr>
          <w:rFonts w:asciiTheme="majorHAnsi" w:eastAsiaTheme="minorEastAsia" w:hAnsiTheme="majorHAnsi" w:cs="Arial"/>
          <w:b/>
          <w:color w:val="000000" w:themeColor="text1"/>
          <w:bdr w:val="none" w:sz="0" w:space="0" w:color="auto" w:frame="1"/>
        </w:rPr>
      </w:pPr>
      <w:r w:rsidRPr="001C48BA">
        <w:rPr>
          <w:rFonts w:asciiTheme="majorHAnsi" w:eastAsiaTheme="minorEastAsia" w:hAnsiTheme="majorHAnsi" w:cs="Arial"/>
          <w:b/>
          <w:color w:val="000000" w:themeColor="text1"/>
          <w:bdr w:val="none" w:sz="0" w:space="0" w:color="auto" w:frame="1"/>
        </w:rPr>
        <w:t xml:space="preserve">Improvisation – </w:t>
      </w:r>
      <w:r w:rsidRPr="001C48BA">
        <w:rPr>
          <w:rFonts w:asciiTheme="majorHAnsi" w:eastAsiaTheme="minorEastAsia" w:hAnsiTheme="majorHAnsi" w:cs="Arial"/>
          <w:color w:val="000000" w:themeColor="text1"/>
          <w:bdr w:val="none" w:sz="0" w:space="0" w:color="auto" w:frame="1"/>
        </w:rPr>
        <w:t xml:space="preserve">adding vocal and/or instrumental improvisation during instrumental parts of songs. </w:t>
      </w:r>
    </w:p>
    <w:p w14:paraId="388C372D" w14:textId="7F81D383" w:rsidR="001C48BA" w:rsidRPr="001C48BA" w:rsidRDefault="001C48BA" w:rsidP="001C48BA">
      <w:pPr>
        <w:pStyle w:val="ListParagraph"/>
        <w:numPr>
          <w:ilvl w:val="0"/>
          <w:numId w:val="10"/>
        </w:numPr>
        <w:textAlignment w:val="top"/>
        <w:rPr>
          <w:rFonts w:asciiTheme="majorHAnsi" w:eastAsiaTheme="minorEastAsia" w:hAnsiTheme="majorHAnsi" w:cs="Arial"/>
          <w:b/>
          <w:color w:val="000000" w:themeColor="text1"/>
          <w:bdr w:val="none" w:sz="0" w:space="0" w:color="auto" w:frame="1"/>
        </w:rPr>
      </w:pPr>
      <w:r w:rsidRPr="001C48BA">
        <w:rPr>
          <w:rFonts w:asciiTheme="majorHAnsi" w:eastAsiaTheme="minorEastAsia" w:hAnsiTheme="majorHAnsi" w:cs="Arial"/>
          <w:b/>
          <w:color w:val="000000" w:themeColor="text1"/>
          <w:bdr w:val="none" w:sz="0" w:space="0" w:color="auto" w:frame="1"/>
        </w:rPr>
        <w:t xml:space="preserve">Composition – </w:t>
      </w:r>
      <w:r w:rsidRPr="001C48BA">
        <w:rPr>
          <w:rFonts w:asciiTheme="majorHAnsi" w:eastAsiaTheme="minorEastAsia" w:hAnsiTheme="majorHAnsi" w:cs="Arial"/>
          <w:color w:val="000000" w:themeColor="text1"/>
          <w:bdr w:val="none" w:sz="0" w:space="0" w:color="auto" w:frame="1"/>
        </w:rPr>
        <w:t>using instruments and technology to create individual pieces of music and build awareness of tuned and un-tuned notation.</w:t>
      </w:r>
    </w:p>
    <w:p w14:paraId="431AC03D" w14:textId="059EA61F" w:rsidR="005D37E4" w:rsidRPr="001C48BA" w:rsidRDefault="001C48BA" w:rsidP="008C4C2C">
      <w:pPr>
        <w:pStyle w:val="ListParagraph"/>
        <w:numPr>
          <w:ilvl w:val="0"/>
          <w:numId w:val="10"/>
        </w:numPr>
        <w:textAlignment w:val="top"/>
        <w:rPr>
          <w:rFonts w:asciiTheme="majorHAnsi" w:eastAsiaTheme="minorEastAsia" w:hAnsiTheme="majorHAnsi"/>
          <w:b/>
          <w:color w:val="000000" w:themeColor="text1"/>
        </w:rPr>
      </w:pPr>
      <w:r w:rsidRPr="001C48BA">
        <w:rPr>
          <w:rFonts w:asciiTheme="majorHAnsi" w:eastAsiaTheme="minorEastAsia" w:hAnsiTheme="majorHAnsi" w:cs="Arial"/>
          <w:b/>
          <w:color w:val="000000" w:themeColor="text1"/>
          <w:bdr w:val="none" w:sz="0" w:space="0" w:color="auto" w:frame="1"/>
        </w:rPr>
        <w:t>Performing</w:t>
      </w:r>
      <w:r w:rsidR="005D37E4" w:rsidRPr="001C48BA">
        <w:rPr>
          <w:rFonts w:asciiTheme="majorHAnsi" w:eastAsiaTheme="minorEastAsia" w:hAnsiTheme="majorHAnsi"/>
          <w:b/>
          <w:color w:val="000000" w:themeColor="text1"/>
        </w:rPr>
        <w:t> </w:t>
      </w:r>
      <w:r w:rsidRPr="001C48BA">
        <w:rPr>
          <w:rFonts w:asciiTheme="majorHAnsi" w:eastAsiaTheme="minorEastAsia" w:hAnsiTheme="majorHAnsi"/>
          <w:color w:val="000000" w:themeColor="text1"/>
        </w:rPr>
        <w:t>– sharing and enjoying a musical performance, with opportunity to reflect and evaluate on learning.</w:t>
      </w:r>
    </w:p>
    <w:p w14:paraId="78B96C3A" w14:textId="414F2D15" w:rsidR="001C48BA" w:rsidRPr="001C48BA" w:rsidRDefault="001C48BA" w:rsidP="001C48BA">
      <w:pPr>
        <w:textAlignment w:val="top"/>
        <w:rPr>
          <w:rFonts w:asciiTheme="majorHAnsi" w:eastAsiaTheme="minorEastAsia" w:hAnsiTheme="majorHAnsi"/>
          <w:color w:val="000000" w:themeColor="text1"/>
          <w:sz w:val="22"/>
          <w:szCs w:val="22"/>
        </w:rPr>
      </w:pPr>
      <w:r w:rsidRPr="001C48BA">
        <w:rPr>
          <w:rFonts w:asciiTheme="majorHAnsi" w:eastAsiaTheme="minorEastAsia" w:hAnsiTheme="majorHAnsi"/>
          <w:color w:val="000000" w:themeColor="text1"/>
          <w:sz w:val="22"/>
          <w:szCs w:val="22"/>
        </w:rPr>
        <w:t>Music can be taught in dedicated lessons, as well as through cross-curricular learning, where different musical traditions or cultures are explored through topic-based learning. Singing is also celebrated during our Collective Worship time in school through singing hymns.</w:t>
      </w:r>
    </w:p>
    <w:p w14:paraId="22AF6684" w14:textId="35CF00DB" w:rsidR="001C48BA" w:rsidRPr="001C48BA" w:rsidRDefault="001C48BA" w:rsidP="001C48BA">
      <w:pPr>
        <w:textAlignment w:val="top"/>
        <w:rPr>
          <w:rFonts w:asciiTheme="majorHAnsi" w:eastAsiaTheme="minorEastAsia" w:hAnsiTheme="majorHAnsi"/>
          <w:color w:val="000000" w:themeColor="text1"/>
          <w:sz w:val="22"/>
          <w:szCs w:val="22"/>
        </w:rPr>
      </w:pPr>
    </w:p>
    <w:p w14:paraId="2C53B485" w14:textId="77777777" w:rsidR="00290F2D" w:rsidRDefault="001C48BA" w:rsidP="001C48BA">
      <w:pPr>
        <w:textAlignment w:val="top"/>
        <w:rPr>
          <w:rFonts w:asciiTheme="majorHAnsi" w:eastAsiaTheme="minorEastAsia" w:hAnsiTheme="majorHAnsi"/>
          <w:color w:val="000000" w:themeColor="text1"/>
          <w:sz w:val="22"/>
          <w:szCs w:val="22"/>
        </w:rPr>
      </w:pPr>
      <w:r w:rsidRPr="001C48BA">
        <w:rPr>
          <w:rFonts w:asciiTheme="majorHAnsi" w:eastAsiaTheme="minorEastAsia" w:hAnsiTheme="majorHAnsi"/>
          <w:color w:val="000000" w:themeColor="text1"/>
          <w:sz w:val="22"/>
          <w:szCs w:val="22"/>
        </w:rPr>
        <w:t xml:space="preserve">Further enrichment opportunities are provided in school, with the aim of developing children’s passion for music. In Year 3, the children learn a brass instrument alongside a specialist music teacher for the entire academic year. The children are then given the opportunity to perform their skills during a music ensemble open to the school community. </w:t>
      </w:r>
    </w:p>
    <w:p w14:paraId="47F960C9" w14:textId="001ECD77" w:rsidR="004105EB" w:rsidRDefault="001C48BA" w:rsidP="004105EB">
      <w:pPr>
        <w:textAlignment w:val="top"/>
        <w:rPr>
          <w:rFonts w:asciiTheme="majorHAnsi" w:eastAsiaTheme="minorEastAsia" w:hAnsiTheme="majorHAnsi"/>
          <w:color w:val="000000" w:themeColor="text1"/>
          <w:sz w:val="22"/>
          <w:szCs w:val="22"/>
        </w:rPr>
      </w:pPr>
      <w:r w:rsidRPr="001C48BA">
        <w:rPr>
          <w:rFonts w:asciiTheme="majorHAnsi" w:eastAsiaTheme="minorEastAsia" w:hAnsiTheme="majorHAnsi"/>
          <w:color w:val="000000" w:themeColor="text1"/>
          <w:sz w:val="22"/>
          <w:szCs w:val="22"/>
        </w:rPr>
        <w:t xml:space="preserve">In Year 5, the children rehearse and perform at the Young Voices event at Sheffield Arena. This enables children to experience singing on a larger scale and is a fantastic opportunity to </w:t>
      </w:r>
      <w:r w:rsidRPr="001C48BA">
        <w:rPr>
          <w:rFonts w:asciiTheme="majorHAnsi" w:eastAsiaTheme="minorEastAsia" w:hAnsiTheme="majorHAnsi"/>
          <w:color w:val="000000" w:themeColor="text1"/>
          <w:sz w:val="22"/>
          <w:szCs w:val="22"/>
        </w:rPr>
        <w:lastRenderedPageBreak/>
        <w:t xml:space="preserve">perform with others. </w:t>
      </w:r>
      <w:bookmarkStart w:id="0" w:name="_Hlk27484329"/>
      <w:r w:rsidR="00A34D9B">
        <w:rPr>
          <w:rFonts w:asciiTheme="majorHAnsi" w:eastAsiaTheme="minorEastAsia" w:hAnsiTheme="majorHAnsi"/>
          <w:color w:val="000000" w:themeColor="text1"/>
          <w:sz w:val="22"/>
          <w:szCs w:val="22"/>
        </w:rPr>
        <w:t>A small team of specialised peripatetic teachers also deliver additional lessons in piano, guitar, brass and voice.</w:t>
      </w:r>
    </w:p>
    <w:p w14:paraId="38BD065A" w14:textId="77777777" w:rsidR="007F0BF1" w:rsidRDefault="007F0BF1" w:rsidP="004105EB">
      <w:pPr>
        <w:textAlignment w:val="top"/>
        <w:rPr>
          <w:rFonts w:asciiTheme="majorHAnsi" w:eastAsiaTheme="minorEastAsia" w:hAnsiTheme="majorHAnsi"/>
          <w:color w:val="000000" w:themeColor="text1"/>
          <w:sz w:val="22"/>
          <w:szCs w:val="22"/>
        </w:rPr>
      </w:pPr>
    </w:p>
    <w:p w14:paraId="0019B1E2" w14:textId="5CD73AD8" w:rsidR="00AD7A21" w:rsidRPr="001C48BA" w:rsidRDefault="00AD7A21" w:rsidP="004105EB">
      <w:pPr>
        <w:textAlignment w:val="top"/>
        <w:rPr>
          <w:rFonts w:asciiTheme="majorHAnsi" w:hAnsiTheme="majorHAnsi"/>
          <w:b/>
          <w:sz w:val="22"/>
          <w:szCs w:val="22"/>
          <w:u w:val="single"/>
        </w:rPr>
      </w:pPr>
      <w:r w:rsidRPr="001C48BA">
        <w:rPr>
          <w:rFonts w:asciiTheme="majorHAnsi" w:hAnsiTheme="majorHAnsi"/>
          <w:b/>
          <w:sz w:val="22"/>
          <w:szCs w:val="22"/>
          <w:u w:val="single"/>
        </w:rPr>
        <w:t>Assessment and reporting</w:t>
      </w:r>
    </w:p>
    <w:p w14:paraId="47DDB59E" w14:textId="359AD6A6" w:rsidR="00AD7A21" w:rsidRPr="001C48BA" w:rsidRDefault="00AD7A21" w:rsidP="00DC00DD">
      <w:pPr>
        <w:jc w:val="both"/>
        <w:rPr>
          <w:rFonts w:asciiTheme="majorHAnsi" w:hAnsiTheme="majorHAnsi" w:cs="Arial"/>
          <w:color w:val="000000"/>
          <w:sz w:val="22"/>
          <w:szCs w:val="22"/>
          <w:lang w:val="en-US"/>
        </w:rPr>
      </w:pPr>
    </w:p>
    <w:p w14:paraId="5EB8F3F4" w14:textId="6163F712" w:rsidR="001C48BA" w:rsidRPr="001C48BA" w:rsidRDefault="00684A8C" w:rsidP="00DC00DD">
      <w:pPr>
        <w:jc w:val="both"/>
        <w:rPr>
          <w:rFonts w:asciiTheme="majorHAnsi" w:hAnsiTheme="majorHAnsi" w:cstheme="majorHAnsi"/>
          <w:sz w:val="22"/>
          <w:szCs w:val="22"/>
        </w:rPr>
      </w:pPr>
      <w:r w:rsidRPr="001C48BA">
        <w:rPr>
          <w:rFonts w:asciiTheme="majorHAnsi" w:hAnsiTheme="majorHAnsi" w:cstheme="majorHAnsi"/>
          <w:sz w:val="22"/>
          <w:szCs w:val="22"/>
        </w:rPr>
        <w:t xml:space="preserve">Formative assessment </w:t>
      </w:r>
      <w:r w:rsidR="001C48BA" w:rsidRPr="001C48BA">
        <w:rPr>
          <w:rFonts w:asciiTheme="majorHAnsi" w:hAnsiTheme="majorHAnsi" w:cstheme="majorHAnsi"/>
          <w:sz w:val="22"/>
          <w:szCs w:val="22"/>
        </w:rPr>
        <w:t xml:space="preserve">is continually used throughout music lessons, to identify children’s progress and inform future planning, teaching and learning. End of unit assessment trackers are completed to record children’s understanding of the specific musical skills above, to monitor progress. </w:t>
      </w:r>
      <w:r w:rsidR="002A4596">
        <w:rPr>
          <w:rFonts w:asciiTheme="majorHAnsi" w:hAnsiTheme="majorHAnsi" w:cstheme="majorHAnsi"/>
          <w:sz w:val="22"/>
          <w:szCs w:val="22"/>
        </w:rPr>
        <w:t xml:space="preserve">A summary of topics covered in music throughout the year is reported to parents annually. </w:t>
      </w:r>
    </w:p>
    <w:p w14:paraId="18089012" w14:textId="331599C5" w:rsidR="00AD7A21" w:rsidRPr="001C48BA" w:rsidRDefault="001C48BA" w:rsidP="00DC00DD">
      <w:pPr>
        <w:jc w:val="both"/>
        <w:rPr>
          <w:rFonts w:asciiTheme="majorHAnsi" w:hAnsiTheme="majorHAnsi"/>
          <w:sz w:val="22"/>
          <w:szCs w:val="22"/>
        </w:rPr>
      </w:pPr>
      <w:r w:rsidRPr="001C48BA">
        <w:rPr>
          <w:rFonts w:asciiTheme="majorHAnsi" w:hAnsiTheme="majorHAnsi"/>
          <w:sz w:val="22"/>
          <w:szCs w:val="22"/>
        </w:rPr>
        <w:t xml:space="preserve"> </w:t>
      </w:r>
    </w:p>
    <w:p w14:paraId="1B8BD27D" w14:textId="16EC5679" w:rsidR="00AD7A21" w:rsidRPr="001C48BA" w:rsidRDefault="00AD7A21" w:rsidP="00DC00DD">
      <w:pPr>
        <w:jc w:val="both"/>
        <w:rPr>
          <w:rFonts w:asciiTheme="majorHAnsi" w:hAnsiTheme="majorHAnsi"/>
          <w:b/>
          <w:sz w:val="22"/>
          <w:szCs w:val="22"/>
          <w:u w:val="single"/>
        </w:rPr>
      </w:pPr>
      <w:bookmarkStart w:id="1" w:name="_Hlk27485257"/>
      <w:r w:rsidRPr="001C48BA">
        <w:rPr>
          <w:rFonts w:asciiTheme="majorHAnsi" w:hAnsiTheme="majorHAnsi"/>
          <w:b/>
          <w:sz w:val="22"/>
          <w:szCs w:val="22"/>
          <w:u w:val="single"/>
        </w:rPr>
        <w:t xml:space="preserve">The role of the </w:t>
      </w:r>
      <w:r w:rsidR="00684A8C" w:rsidRPr="001C48BA">
        <w:rPr>
          <w:rFonts w:asciiTheme="majorHAnsi" w:hAnsiTheme="majorHAnsi"/>
          <w:b/>
          <w:sz w:val="22"/>
          <w:szCs w:val="22"/>
          <w:u w:val="single"/>
        </w:rPr>
        <w:t>Music</w:t>
      </w:r>
      <w:r w:rsidR="0042514E" w:rsidRPr="001C48BA">
        <w:rPr>
          <w:rFonts w:asciiTheme="majorHAnsi" w:hAnsiTheme="majorHAnsi"/>
          <w:b/>
          <w:sz w:val="22"/>
          <w:szCs w:val="22"/>
          <w:u w:val="single"/>
        </w:rPr>
        <w:t xml:space="preserve"> </w:t>
      </w:r>
      <w:r w:rsidR="00684A8C" w:rsidRPr="001C48BA">
        <w:rPr>
          <w:rFonts w:asciiTheme="majorHAnsi" w:hAnsiTheme="majorHAnsi"/>
          <w:b/>
          <w:sz w:val="22"/>
          <w:szCs w:val="22"/>
          <w:u w:val="single"/>
        </w:rPr>
        <w:t>S</w:t>
      </w:r>
      <w:r w:rsidR="00043642" w:rsidRPr="001C48BA">
        <w:rPr>
          <w:rFonts w:asciiTheme="majorHAnsi" w:hAnsiTheme="majorHAnsi"/>
          <w:b/>
          <w:sz w:val="22"/>
          <w:szCs w:val="22"/>
          <w:u w:val="single"/>
        </w:rPr>
        <w:t xml:space="preserve">ubject </w:t>
      </w:r>
      <w:r w:rsidR="00684A8C" w:rsidRPr="001C48BA">
        <w:rPr>
          <w:rFonts w:asciiTheme="majorHAnsi" w:hAnsiTheme="majorHAnsi"/>
          <w:b/>
          <w:sz w:val="22"/>
          <w:szCs w:val="22"/>
          <w:u w:val="single"/>
        </w:rPr>
        <w:t>L</w:t>
      </w:r>
      <w:r w:rsidR="00043642" w:rsidRPr="001C48BA">
        <w:rPr>
          <w:rFonts w:asciiTheme="majorHAnsi" w:hAnsiTheme="majorHAnsi"/>
          <w:b/>
          <w:sz w:val="22"/>
          <w:szCs w:val="22"/>
          <w:u w:val="single"/>
        </w:rPr>
        <w:t>ead</w:t>
      </w:r>
      <w:r w:rsidRPr="001C48BA">
        <w:rPr>
          <w:rFonts w:asciiTheme="majorHAnsi" w:hAnsiTheme="majorHAnsi"/>
          <w:b/>
          <w:sz w:val="22"/>
          <w:szCs w:val="22"/>
          <w:u w:val="single"/>
        </w:rPr>
        <w:t xml:space="preserve"> is to:</w:t>
      </w:r>
    </w:p>
    <w:p w14:paraId="69846077" w14:textId="77777777" w:rsidR="00043642" w:rsidRPr="001C48BA" w:rsidRDefault="00043642" w:rsidP="00DC00DD">
      <w:pPr>
        <w:jc w:val="both"/>
        <w:rPr>
          <w:rFonts w:asciiTheme="majorHAnsi" w:hAnsiTheme="majorHAnsi"/>
          <w:b/>
          <w:sz w:val="22"/>
          <w:szCs w:val="22"/>
          <w:u w:val="single"/>
        </w:rPr>
      </w:pPr>
    </w:p>
    <w:p w14:paraId="5E16D7FB" w14:textId="2D2E62E7" w:rsidR="00AD7A21" w:rsidRPr="001C48BA" w:rsidRDefault="00684A8C" w:rsidP="00684A8C">
      <w:pPr>
        <w:pStyle w:val="ListParagraph"/>
        <w:numPr>
          <w:ilvl w:val="0"/>
          <w:numId w:val="9"/>
        </w:numPr>
        <w:jc w:val="both"/>
        <w:rPr>
          <w:rFonts w:asciiTheme="majorHAnsi" w:hAnsiTheme="majorHAnsi"/>
        </w:rPr>
      </w:pPr>
      <w:r w:rsidRPr="001C48BA">
        <w:rPr>
          <w:rFonts w:asciiTheme="majorHAnsi" w:hAnsiTheme="majorHAnsi"/>
        </w:rPr>
        <w:t>P</w:t>
      </w:r>
      <w:r w:rsidR="00AD7A21" w:rsidRPr="001C48BA">
        <w:rPr>
          <w:rFonts w:asciiTheme="majorHAnsi" w:hAnsiTheme="majorHAnsi"/>
        </w:rPr>
        <w:t>rovide leadership and direction for the subject</w:t>
      </w:r>
      <w:r w:rsidR="00EB48B9" w:rsidRPr="001C48BA">
        <w:rPr>
          <w:rFonts w:asciiTheme="majorHAnsi" w:hAnsiTheme="majorHAnsi"/>
        </w:rPr>
        <w:t>.</w:t>
      </w:r>
    </w:p>
    <w:p w14:paraId="20E7A656" w14:textId="1721F728" w:rsidR="00F34F57" w:rsidRPr="001C48BA" w:rsidRDefault="00EB48B9" w:rsidP="00F33107">
      <w:pPr>
        <w:pStyle w:val="ListParagraph"/>
        <w:numPr>
          <w:ilvl w:val="0"/>
          <w:numId w:val="9"/>
        </w:numPr>
        <w:jc w:val="both"/>
        <w:rPr>
          <w:rFonts w:asciiTheme="majorHAnsi" w:hAnsiTheme="majorHAnsi" w:cstheme="majorHAnsi"/>
          <w:u w:val="single"/>
        </w:rPr>
      </w:pPr>
      <w:r w:rsidRPr="001C48BA">
        <w:rPr>
          <w:rFonts w:asciiTheme="majorHAnsi" w:hAnsiTheme="majorHAnsi"/>
        </w:rPr>
        <w:t>Monitor planning</w:t>
      </w:r>
      <w:bookmarkEnd w:id="0"/>
      <w:bookmarkEnd w:id="1"/>
      <w:r w:rsidRPr="001C48BA">
        <w:rPr>
          <w:rFonts w:asciiTheme="majorHAnsi" w:hAnsiTheme="majorHAnsi"/>
        </w:rPr>
        <w:t xml:space="preserve"> </w:t>
      </w:r>
      <w:r w:rsidR="00214F60" w:rsidRPr="001C48BA">
        <w:rPr>
          <w:rFonts w:asciiTheme="majorHAnsi" w:hAnsiTheme="majorHAnsi"/>
        </w:rPr>
        <w:t>and progression in the subject.</w:t>
      </w:r>
    </w:p>
    <w:p w14:paraId="0D137C39" w14:textId="5C8B09B2" w:rsidR="00214F60" w:rsidRPr="001C48BA" w:rsidRDefault="00214F60" w:rsidP="00F33107">
      <w:pPr>
        <w:pStyle w:val="ListParagraph"/>
        <w:numPr>
          <w:ilvl w:val="0"/>
          <w:numId w:val="9"/>
        </w:numPr>
        <w:jc w:val="both"/>
        <w:rPr>
          <w:rFonts w:asciiTheme="majorHAnsi" w:hAnsiTheme="majorHAnsi" w:cstheme="majorHAnsi"/>
          <w:u w:val="single"/>
        </w:rPr>
      </w:pPr>
      <w:r w:rsidRPr="001C48BA">
        <w:rPr>
          <w:rFonts w:asciiTheme="majorHAnsi" w:hAnsiTheme="majorHAnsi"/>
        </w:rPr>
        <w:t>Play a key role in supporting, and providing resources for, teachers in the subject.</w:t>
      </w:r>
    </w:p>
    <w:p w14:paraId="57914CF0" w14:textId="47A7F6F4" w:rsidR="00AD3C79" w:rsidRPr="001C48BA" w:rsidRDefault="00214F60" w:rsidP="00AD3C79">
      <w:pPr>
        <w:pStyle w:val="ListParagraph"/>
        <w:numPr>
          <w:ilvl w:val="0"/>
          <w:numId w:val="9"/>
        </w:numPr>
        <w:jc w:val="both"/>
        <w:rPr>
          <w:rFonts w:asciiTheme="majorHAnsi" w:hAnsiTheme="majorHAnsi" w:cstheme="majorHAnsi"/>
          <w:u w:val="single"/>
        </w:rPr>
      </w:pPr>
      <w:r w:rsidRPr="001C48BA">
        <w:rPr>
          <w:rFonts w:asciiTheme="majorHAnsi" w:hAnsiTheme="majorHAnsi"/>
        </w:rPr>
        <w:t>Evaluate effectiveness of teaching and learning, the subject curriculum and</w:t>
      </w:r>
      <w:r w:rsidR="00AD3C79" w:rsidRPr="001C48BA">
        <w:rPr>
          <w:rFonts w:asciiTheme="majorHAnsi" w:hAnsiTheme="majorHAnsi"/>
        </w:rPr>
        <w:t xml:space="preserve"> progress towards pupils meeting year group standards through regular monitoring.</w:t>
      </w:r>
    </w:p>
    <w:p w14:paraId="683B4827" w14:textId="5414D71F" w:rsidR="00EB48B9" w:rsidRPr="001C48BA" w:rsidRDefault="00AD3C79" w:rsidP="0000003C">
      <w:pPr>
        <w:jc w:val="both"/>
        <w:rPr>
          <w:rFonts w:asciiTheme="majorHAnsi" w:hAnsiTheme="majorHAnsi" w:cstheme="majorHAnsi"/>
          <w:sz w:val="22"/>
          <w:szCs w:val="22"/>
          <w:u w:val="single"/>
        </w:rPr>
      </w:pPr>
      <w:r w:rsidRPr="001C48BA">
        <w:rPr>
          <w:rFonts w:asciiTheme="majorHAnsi" w:hAnsiTheme="majorHAnsi"/>
          <w:sz w:val="22"/>
          <w:szCs w:val="22"/>
        </w:rPr>
        <w:t>The Music subject lead will carry out learning visits, gather pupil voice, monitor assessments and deliver staff meetings as appropriate. The Music subject lead will ensure th</w:t>
      </w:r>
      <w:r w:rsidR="0000003C" w:rsidRPr="001C48BA">
        <w:rPr>
          <w:rFonts w:asciiTheme="majorHAnsi" w:hAnsiTheme="majorHAnsi"/>
          <w:sz w:val="22"/>
          <w:szCs w:val="22"/>
        </w:rPr>
        <w:t>is policy is kept up to date.</w:t>
      </w:r>
    </w:p>
    <w:p w14:paraId="15CE9D61" w14:textId="3835CE80" w:rsidR="00EB48B9" w:rsidRDefault="00EB48B9" w:rsidP="00EB48B9">
      <w:pPr>
        <w:jc w:val="both"/>
        <w:rPr>
          <w:rFonts w:asciiTheme="majorHAnsi" w:hAnsiTheme="majorHAnsi" w:cstheme="majorHAnsi"/>
          <w:sz w:val="22"/>
          <w:szCs w:val="22"/>
          <w:u w:val="single"/>
        </w:rPr>
      </w:pPr>
    </w:p>
    <w:p w14:paraId="37AA139D" w14:textId="77D1B63B" w:rsidR="0000003C" w:rsidRPr="001C48BA" w:rsidRDefault="00C857ED" w:rsidP="0000003C">
      <w:pPr>
        <w:jc w:val="both"/>
        <w:rPr>
          <w:rFonts w:asciiTheme="majorHAnsi" w:hAnsiTheme="majorHAnsi" w:cstheme="majorHAnsi"/>
          <w:sz w:val="22"/>
          <w:szCs w:val="22"/>
        </w:rPr>
      </w:pPr>
      <w:r>
        <w:rPr>
          <w:rFonts w:asciiTheme="majorHAnsi" w:hAnsiTheme="majorHAnsi" w:cstheme="majorHAnsi"/>
          <w:sz w:val="22"/>
          <w:szCs w:val="22"/>
        </w:rPr>
        <w:t xml:space="preserve">To be reviewed </w:t>
      </w:r>
      <w:r w:rsidR="002A009F">
        <w:rPr>
          <w:rFonts w:asciiTheme="majorHAnsi" w:hAnsiTheme="majorHAnsi" w:cstheme="majorHAnsi"/>
          <w:sz w:val="22"/>
          <w:szCs w:val="22"/>
        </w:rPr>
        <w:t>–</w:t>
      </w:r>
      <w:r w:rsidR="008A46CD">
        <w:rPr>
          <w:rFonts w:asciiTheme="majorHAnsi" w:hAnsiTheme="majorHAnsi" w:cstheme="majorHAnsi"/>
          <w:sz w:val="22"/>
          <w:szCs w:val="22"/>
        </w:rPr>
        <w:t xml:space="preserve"> </w:t>
      </w:r>
      <w:r w:rsidR="00D20715">
        <w:rPr>
          <w:rFonts w:asciiTheme="majorHAnsi" w:hAnsiTheme="majorHAnsi" w:cstheme="majorHAnsi"/>
          <w:sz w:val="22"/>
          <w:szCs w:val="22"/>
        </w:rPr>
        <w:t>November</w:t>
      </w:r>
      <w:bookmarkStart w:id="2" w:name="_GoBack"/>
      <w:bookmarkEnd w:id="2"/>
      <w:r w:rsidR="002A009F">
        <w:rPr>
          <w:rFonts w:asciiTheme="majorHAnsi" w:hAnsiTheme="majorHAnsi" w:cstheme="majorHAnsi"/>
          <w:sz w:val="22"/>
          <w:szCs w:val="22"/>
        </w:rPr>
        <w:t xml:space="preserve"> 2025</w:t>
      </w:r>
    </w:p>
    <w:p w14:paraId="28E16953" w14:textId="4CE52C4D" w:rsidR="0029202C" w:rsidRPr="001C48BA" w:rsidRDefault="0029202C" w:rsidP="003E772B">
      <w:pPr>
        <w:rPr>
          <w:rFonts w:asciiTheme="majorHAnsi" w:hAnsiTheme="majorHAnsi" w:cstheme="majorHAnsi"/>
          <w:sz w:val="22"/>
          <w:szCs w:val="22"/>
        </w:rPr>
      </w:pPr>
    </w:p>
    <w:sectPr w:rsidR="0029202C" w:rsidRPr="001C48BA">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64711" w14:textId="77777777" w:rsidR="00CD2959" w:rsidRDefault="00CD2959" w:rsidP="00A41F95">
      <w:r>
        <w:separator/>
      </w:r>
    </w:p>
  </w:endnote>
  <w:endnote w:type="continuationSeparator" w:id="0">
    <w:p w14:paraId="55D05D50" w14:textId="77777777" w:rsidR="00CD2959" w:rsidRDefault="00CD2959" w:rsidP="00A4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957996"/>
      <w:docPartObj>
        <w:docPartGallery w:val="Page Numbers (Bottom of Page)"/>
        <w:docPartUnique/>
      </w:docPartObj>
    </w:sdtPr>
    <w:sdtEndPr>
      <w:rPr>
        <w:noProof/>
      </w:rPr>
    </w:sdtEndPr>
    <w:sdtContent>
      <w:p w14:paraId="5C555916" w14:textId="5FC4862B" w:rsidR="00F759B0" w:rsidRDefault="00F759B0">
        <w:pPr>
          <w:pStyle w:val="Footer"/>
        </w:pPr>
        <w:r>
          <w:fldChar w:fldCharType="begin"/>
        </w:r>
        <w:r>
          <w:instrText xml:space="preserve"> PAGE   \* MERGEFORMAT </w:instrText>
        </w:r>
        <w:r>
          <w:fldChar w:fldCharType="separate"/>
        </w:r>
        <w:r w:rsidR="0065127A">
          <w:rPr>
            <w:noProof/>
          </w:rPr>
          <w:t>4</w:t>
        </w:r>
        <w:r>
          <w:rPr>
            <w:noProof/>
          </w:rPr>
          <w:fldChar w:fldCharType="end"/>
        </w:r>
      </w:p>
    </w:sdtContent>
  </w:sdt>
  <w:p w14:paraId="51478A91" w14:textId="77777777" w:rsidR="00F759B0" w:rsidRDefault="00F75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B219F" w14:textId="77777777" w:rsidR="00CD2959" w:rsidRDefault="00CD2959" w:rsidP="00A41F95">
      <w:r>
        <w:separator/>
      </w:r>
    </w:p>
  </w:footnote>
  <w:footnote w:type="continuationSeparator" w:id="0">
    <w:p w14:paraId="490A31A7" w14:textId="77777777" w:rsidR="00CD2959" w:rsidRDefault="00CD2959" w:rsidP="00A41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38AD" w14:textId="64625331" w:rsidR="002A009F" w:rsidRDefault="002A009F">
    <w:r w:rsidRPr="001C48BA">
      <w:rPr>
        <w:b/>
        <w:noProof/>
        <w:sz w:val="22"/>
        <w:szCs w:val="22"/>
      </w:rPr>
      <w:drawing>
        <wp:anchor distT="0" distB="0" distL="114300" distR="114300" simplePos="0" relativeHeight="251661312" behindDoc="0" locked="0" layoutInCell="1" allowOverlap="1" wp14:anchorId="2B1E6CDF" wp14:editId="50D117E8">
          <wp:simplePos x="0" y="0"/>
          <wp:positionH relativeFrom="margin">
            <wp:posOffset>5638800</wp:posOffset>
          </wp:positionH>
          <wp:positionV relativeFrom="paragraph">
            <wp:posOffset>-324485</wp:posOffset>
          </wp:positionV>
          <wp:extent cx="590550" cy="647197"/>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550" cy="647197"/>
                  </a:xfrm>
                  <a:prstGeom prst="rect">
                    <a:avLst/>
                  </a:prstGeom>
                </pic:spPr>
              </pic:pic>
            </a:graphicData>
          </a:graphic>
          <wp14:sizeRelH relativeFrom="page">
            <wp14:pctWidth>0</wp14:pctWidth>
          </wp14:sizeRelH>
          <wp14:sizeRelV relativeFrom="page">
            <wp14:pctHeight>0</wp14:pctHeight>
          </wp14:sizeRelV>
        </wp:anchor>
      </w:drawing>
    </w:r>
    <w:r w:rsidRPr="001C48BA">
      <w:rPr>
        <w:b/>
        <w:noProof/>
        <w:sz w:val="22"/>
        <w:szCs w:val="22"/>
      </w:rPr>
      <w:drawing>
        <wp:anchor distT="0" distB="0" distL="114300" distR="114300" simplePos="0" relativeHeight="251659264" behindDoc="0" locked="0" layoutInCell="1" allowOverlap="1" wp14:anchorId="0D9C1FF4" wp14:editId="2D9F793F">
          <wp:simplePos x="0" y="0"/>
          <wp:positionH relativeFrom="margin">
            <wp:posOffset>-933450</wp:posOffset>
          </wp:positionH>
          <wp:positionV relativeFrom="paragraph">
            <wp:posOffset>-278130</wp:posOffset>
          </wp:positionV>
          <wp:extent cx="590550" cy="647197"/>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218" cy="651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9598F"/>
    <w:multiLevelType w:val="hybridMultilevel"/>
    <w:tmpl w:val="6DA61B76"/>
    <w:lvl w:ilvl="0" w:tplc="3886BE48">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51B09"/>
    <w:multiLevelType w:val="hybridMultilevel"/>
    <w:tmpl w:val="2B86306E"/>
    <w:lvl w:ilvl="0" w:tplc="87507768">
      <w:start w:val="6"/>
      <w:numFmt w:val="bullet"/>
      <w:lvlText w:val="-"/>
      <w:lvlJc w:val="left"/>
      <w:pPr>
        <w:ind w:left="720" w:hanging="360"/>
      </w:pPr>
      <w:rPr>
        <w:rFonts w:ascii="Century Gothic" w:eastAsia="Times New Roman" w:hAnsi="Century Gothic"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F19F0"/>
    <w:multiLevelType w:val="hybridMultilevel"/>
    <w:tmpl w:val="890C241A"/>
    <w:lvl w:ilvl="0" w:tplc="12CA25D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FD5A6F"/>
    <w:multiLevelType w:val="hybridMultilevel"/>
    <w:tmpl w:val="46CC74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48A1E4B"/>
    <w:multiLevelType w:val="hybridMultilevel"/>
    <w:tmpl w:val="BDA01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F90516"/>
    <w:multiLevelType w:val="hybridMultilevel"/>
    <w:tmpl w:val="FD8A1D18"/>
    <w:lvl w:ilvl="0" w:tplc="5498BF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7953FA"/>
    <w:multiLevelType w:val="hybridMultilevel"/>
    <w:tmpl w:val="C0B44ED6"/>
    <w:lvl w:ilvl="0" w:tplc="E75C43AE">
      <w:numFmt w:val="bullet"/>
      <w:lvlText w:val=""/>
      <w:lvlJc w:val="left"/>
      <w:pPr>
        <w:ind w:left="460" w:hanging="178"/>
      </w:pPr>
      <w:rPr>
        <w:rFonts w:ascii="Symbol" w:eastAsia="Symbol" w:hAnsi="Symbol" w:cs="Symbol" w:hint="default"/>
        <w:w w:val="100"/>
        <w:sz w:val="24"/>
        <w:szCs w:val="24"/>
        <w:lang w:val="en-US" w:eastAsia="en-US" w:bidi="ar-SA"/>
      </w:rPr>
    </w:lvl>
    <w:lvl w:ilvl="1" w:tplc="E2C40098">
      <w:numFmt w:val="bullet"/>
      <w:lvlText w:val=""/>
      <w:lvlJc w:val="left"/>
      <w:pPr>
        <w:ind w:left="1180" w:hanging="360"/>
      </w:pPr>
      <w:rPr>
        <w:rFonts w:ascii="Symbol" w:eastAsia="Symbol" w:hAnsi="Symbol" w:cs="Symbol" w:hint="default"/>
        <w:w w:val="100"/>
        <w:sz w:val="22"/>
        <w:szCs w:val="22"/>
        <w:lang w:val="en-US" w:eastAsia="en-US" w:bidi="ar-SA"/>
      </w:rPr>
    </w:lvl>
    <w:lvl w:ilvl="2" w:tplc="4794823A">
      <w:numFmt w:val="bullet"/>
      <w:lvlText w:val="•"/>
      <w:lvlJc w:val="left"/>
      <w:pPr>
        <w:ind w:left="1900" w:hanging="720"/>
      </w:pPr>
      <w:rPr>
        <w:rFonts w:ascii="Arial MT" w:eastAsia="Arial MT" w:hAnsi="Arial MT" w:cs="Arial MT" w:hint="default"/>
        <w:w w:val="100"/>
        <w:sz w:val="22"/>
        <w:szCs w:val="22"/>
        <w:lang w:val="en-US" w:eastAsia="en-US" w:bidi="ar-SA"/>
      </w:rPr>
    </w:lvl>
    <w:lvl w:ilvl="3" w:tplc="798EBA78">
      <w:numFmt w:val="bullet"/>
      <w:lvlText w:val="•"/>
      <w:lvlJc w:val="left"/>
      <w:pPr>
        <w:ind w:left="2863" w:hanging="720"/>
      </w:pPr>
      <w:rPr>
        <w:rFonts w:hint="default"/>
        <w:lang w:val="en-US" w:eastAsia="en-US" w:bidi="ar-SA"/>
      </w:rPr>
    </w:lvl>
    <w:lvl w:ilvl="4" w:tplc="3B9AF9E8">
      <w:numFmt w:val="bullet"/>
      <w:lvlText w:val="•"/>
      <w:lvlJc w:val="left"/>
      <w:pPr>
        <w:ind w:left="3826" w:hanging="720"/>
      </w:pPr>
      <w:rPr>
        <w:rFonts w:hint="default"/>
        <w:lang w:val="en-US" w:eastAsia="en-US" w:bidi="ar-SA"/>
      </w:rPr>
    </w:lvl>
    <w:lvl w:ilvl="5" w:tplc="C20CFC32">
      <w:numFmt w:val="bullet"/>
      <w:lvlText w:val="•"/>
      <w:lvlJc w:val="left"/>
      <w:pPr>
        <w:ind w:left="4789" w:hanging="720"/>
      </w:pPr>
      <w:rPr>
        <w:rFonts w:hint="default"/>
        <w:lang w:val="en-US" w:eastAsia="en-US" w:bidi="ar-SA"/>
      </w:rPr>
    </w:lvl>
    <w:lvl w:ilvl="6" w:tplc="9EDE3DAC">
      <w:numFmt w:val="bullet"/>
      <w:lvlText w:val="•"/>
      <w:lvlJc w:val="left"/>
      <w:pPr>
        <w:ind w:left="5753" w:hanging="720"/>
      </w:pPr>
      <w:rPr>
        <w:rFonts w:hint="default"/>
        <w:lang w:val="en-US" w:eastAsia="en-US" w:bidi="ar-SA"/>
      </w:rPr>
    </w:lvl>
    <w:lvl w:ilvl="7" w:tplc="64823BBA">
      <w:numFmt w:val="bullet"/>
      <w:lvlText w:val="•"/>
      <w:lvlJc w:val="left"/>
      <w:pPr>
        <w:ind w:left="6716" w:hanging="720"/>
      </w:pPr>
      <w:rPr>
        <w:rFonts w:hint="default"/>
        <w:lang w:val="en-US" w:eastAsia="en-US" w:bidi="ar-SA"/>
      </w:rPr>
    </w:lvl>
    <w:lvl w:ilvl="8" w:tplc="9F5ACE92">
      <w:numFmt w:val="bullet"/>
      <w:lvlText w:val="•"/>
      <w:lvlJc w:val="left"/>
      <w:pPr>
        <w:ind w:left="7679" w:hanging="720"/>
      </w:pPr>
      <w:rPr>
        <w:rFonts w:hint="default"/>
        <w:lang w:val="en-US" w:eastAsia="en-US" w:bidi="ar-SA"/>
      </w:rPr>
    </w:lvl>
  </w:abstractNum>
  <w:abstractNum w:abstractNumId="8" w15:restartNumberingAfterBreak="0">
    <w:nsid w:val="71EA6217"/>
    <w:multiLevelType w:val="hybridMultilevel"/>
    <w:tmpl w:val="FC08447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F47C10"/>
    <w:multiLevelType w:val="hybridMultilevel"/>
    <w:tmpl w:val="55B69A6E"/>
    <w:lvl w:ilvl="0" w:tplc="ADE4B482">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3"/>
  </w:num>
  <w:num w:numId="5">
    <w:abstractNumId w:val="9"/>
  </w:num>
  <w:num w:numId="6">
    <w:abstractNumId w:val="1"/>
  </w:num>
  <w:num w:numId="7">
    <w:abstractNumId w:val="6"/>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2B3"/>
    <w:rsid w:val="0000003C"/>
    <w:rsid w:val="000139D4"/>
    <w:rsid w:val="00037505"/>
    <w:rsid w:val="00043642"/>
    <w:rsid w:val="000637AD"/>
    <w:rsid w:val="000903F3"/>
    <w:rsid w:val="00091C6E"/>
    <w:rsid w:val="000D0516"/>
    <w:rsid w:val="001046C0"/>
    <w:rsid w:val="00107904"/>
    <w:rsid w:val="00112F36"/>
    <w:rsid w:val="001552C7"/>
    <w:rsid w:val="001A7819"/>
    <w:rsid w:val="001B4AEE"/>
    <w:rsid w:val="001B4E33"/>
    <w:rsid w:val="001C48BA"/>
    <w:rsid w:val="00214F60"/>
    <w:rsid w:val="00260821"/>
    <w:rsid w:val="002864E3"/>
    <w:rsid w:val="00290F2D"/>
    <w:rsid w:val="0029202C"/>
    <w:rsid w:val="002A009F"/>
    <w:rsid w:val="002A4596"/>
    <w:rsid w:val="002B23A6"/>
    <w:rsid w:val="002E7E43"/>
    <w:rsid w:val="00371AAA"/>
    <w:rsid w:val="003749AA"/>
    <w:rsid w:val="003959E3"/>
    <w:rsid w:val="003A1697"/>
    <w:rsid w:val="003E59E9"/>
    <w:rsid w:val="003E772B"/>
    <w:rsid w:val="004105EB"/>
    <w:rsid w:val="00411F91"/>
    <w:rsid w:val="00416EAA"/>
    <w:rsid w:val="0042514E"/>
    <w:rsid w:val="0045389D"/>
    <w:rsid w:val="004A44CD"/>
    <w:rsid w:val="004A781C"/>
    <w:rsid w:val="004B15C9"/>
    <w:rsid w:val="004C18AA"/>
    <w:rsid w:val="004E5222"/>
    <w:rsid w:val="004F080D"/>
    <w:rsid w:val="005057C6"/>
    <w:rsid w:val="005079C6"/>
    <w:rsid w:val="005421A8"/>
    <w:rsid w:val="00545126"/>
    <w:rsid w:val="00552C8F"/>
    <w:rsid w:val="00554242"/>
    <w:rsid w:val="00554A1B"/>
    <w:rsid w:val="00571B27"/>
    <w:rsid w:val="005905B1"/>
    <w:rsid w:val="005907D4"/>
    <w:rsid w:val="005D37E4"/>
    <w:rsid w:val="005D6735"/>
    <w:rsid w:val="005D69A7"/>
    <w:rsid w:val="005D7740"/>
    <w:rsid w:val="0061334F"/>
    <w:rsid w:val="0065127A"/>
    <w:rsid w:val="006829C8"/>
    <w:rsid w:val="00682BA6"/>
    <w:rsid w:val="00684A8C"/>
    <w:rsid w:val="006A4BD9"/>
    <w:rsid w:val="00710469"/>
    <w:rsid w:val="00737B8B"/>
    <w:rsid w:val="0079234C"/>
    <w:rsid w:val="00792413"/>
    <w:rsid w:val="007A64B1"/>
    <w:rsid w:val="007F0BF1"/>
    <w:rsid w:val="00814A6A"/>
    <w:rsid w:val="0082192B"/>
    <w:rsid w:val="008A46CD"/>
    <w:rsid w:val="008C29EC"/>
    <w:rsid w:val="008E5242"/>
    <w:rsid w:val="008F76D2"/>
    <w:rsid w:val="00903AC6"/>
    <w:rsid w:val="00913E9D"/>
    <w:rsid w:val="00992D42"/>
    <w:rsid w:val="0099617C"/>
    <w:rsid w:val="009B6229"/>
    <w:rsid w:val="009C2181"/>
    <w:rsid w:val="009F024D"/>
    <w:rsid w:val="00A304C8"/>
    <w:rsid w:val="00A34D9B"/>
    <w:rsid w:val="00A3691F"/>
    <w:rsid w:val="00A41F95"/>
    <w:rsid w:val="00A612AF"/>
    <w:rsid w:val="00A72871"/>
    <w:rsid w:val="00A7349E"/>
    <w:rsid w:val="00AD3C79"/>
    <w:rsid w:val="00AD7A21"/>
    <w:rsid w:val="00AE471E"/>
    <w:rsid w:val="00B452B3"/>
    <w:rsid w:val="00B71FAC"/>
    <w:rsid w:val="00B76A2D"/>
    <w:rsid w:val="00BA0FF9"/>
    <w:rsid w:val="00BD0988"/>
    <w:rsid w:val="00C040DD"/>
    <w:rsid w:val="00C22852"/>
    <w:rsid w:val="00C26D2B"/>
    <w:rsid w:val="00C857ED"/>
    <w:rsid w:val="00C926A7"/>
    <w:rsid w:val="00CD2959"/>
    <w:rsid w:val="00D20715"/>
    <w:rsid w:val="00D267C8"/>
    <w:rsid w:val="00D3224A"/>
    <w:rsid w:val="00D45ABA"/>
    <w:rsid w:val="00D66B37"/>
    <w:rsid w:val="00D6775B"/>
    <w:rsid w:val="00D86B15"/>
    <w:rsid w:val="00D9276A"/>
    <w:rsid w:val="00DB3469"/>
    <w:rsid w:val="00DC00DD"/>
    <w:rsid w:val="00DF3A5C"/>
    <w:rsid w:val="00DF4765"/>
    <w:rsid w:val="00E94B24"/>
    <w:rsid w:val="00EB3DAD"/>
    <w:rsid w:val="00EB48B9"/>
    <w:rsid w:val="00EF00EA"/>
    <w:rsid w:val="00EF1EBE"/>
    <w:rsid w:val="00F34BC4"/>
    <w:rsid w:val="00F34F57"/>
    <w:rsid w:val="00F75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BF514"/>
  <w14:defaultImageDpi w14:val="300"/>
  <w15:docId w15:val="{5468DA8F-5D5A-4912-B93A-81B073F8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52B3"/>
    <w:rPr>
      <w:rFonts w:ascii="Times New Roman" w:eastAsia="Times New Roman" w:hAnsi="Times New Roman" w:cs="Times New Roman"/>
      <w:lang w:val="en-GB" w:eastAsia="en-GB"/>
    </w:rPr>
  </w:style>
  <w:style w:type="paragraph" w:styleId="Heading1">
    <w:name w:val="heading 1"/>
    <w:basedOn w:val="Normal"/>
    <w:link w:val="Heading1Char"/>
    <w:uiPriority w:val="1"/>
    <w:qFormat/>
    <w:rsid w:val="002864E3"/>
    <w:pPr>
      <w:widowControl w:val="0"/>
      <w:autoSpaceDE w:val="0"/>
      <w:autoSpaceDN w:val="0"/>
      <w:ind w:left="460"/>
      <w:outlineLvl w:val="0"/>
    </w:pPr>
    <w:rPr>
      <w:rFonts w:ascii="Arial" w:eastAsia="Arial" w:hAnsi="Arial" w:cs="Arial"/>
      <w:b/>
      <w:bCs/>
      <w:sz w:val="22"/>
      <w:szCs w:val="22"/>
      <w:u w:val="single"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B3"/>
    <w:rPr>
      <w:rFonts w:ascii="Calibri" w:eastAsia="Calibri" w:hAnsi="Calibri" w:cs="Times New Roman"/>
      <w:sz w:val="22"/>
      <w:szCs w:val="22"/>
    </w:rPr>
  </w:style>
  <w:style w:type="paragraph" w:styleId="ListParagraph">
    <w:name w:val="List Paragraph"/>
    <w:basedOn w:val="Normal"/>
    <w:uiPriority w:val="1"/>
    <w:qFormat/>
    <w:rsid w:val="00B452B3"/>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unhideWhenUsed/>
    <w:rsid w:val="00B452B3"/>
    <w:pPr>
      <w:spacing w:before="100" w:beforeAutospacing="1" w:after="100" w:afterAutospacing="1"/>
    </w:pPr>
    <w:rPr>
      <w:rFonts w:ascii="Times" w:hAnsi="Times"/>
      <w:sz w:val="20"/>
      <w:szCs w:val="20"/>
      <w:lang w:eastAsia="en-US"/>
    </w:rPr>
  </w:style>
  <w:style w:type="paragraph" w:styleId="Header">
    <w:name w:val="header"/>
    <w:basedOn w:val="Normal"/>
    <w:link w:val="HeaderChar"/>
    <w:uiPriority w:val="99"/>
    <w:unhideWhenUsed/>
    <w:rsid w:val="00A41F95"/>
    <w:pPr>
      <w:tabs>
        <w:tab w:val="center" w:pos="4513"/>
        <w:tab w:val="right" w:pos="9026"/>
      </w:tabs>
    </w:pPr>
  </w:style>
  <w:style w:type="character" w:customStyle="1" w:styleId="HeaderChar">
    <w:name w:val="Header Char"/>
    <w:basedOn w:val="DefaultParagraphFont"/>
    <w:link w:val="Header"/>
    <w:uiPriority w:val="99"/>
    <w:rsid w:val="00A41F95"/>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A41F95"/>
    <w:pPr>
      <w:tabs>
        <w:tab w:val="center" w:pos="4513"/>
        <w:tab w:val="right" w:pos="9026"/>
      </w:tabs>
    </w:pPr>
  </w:style>
  <w:style w:type="character" w:customStyle="1" w:styleId="FooterChar">
    <w:name w:val="Footer Char"/>
    <w:basedOn w:val="DefaultParagraphFont"/>
    <w:link w:val="Footer"/>
    <w:uiPriority w:val="99"/>
    <w:rsid w:val="00A41F95"/>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F759B0"/>
    <w:rPr>
      <w:rFonts w:ascii="Tahoma" w:hAnsi="Tahoma" w:cs="Tahoma"/>
      <w:sz w:val="16"/>
      <w:szCs w:val="16"/>
    </w:rPr>
  </w:style>
  <w:style w:type="character" w:customStyle="1" w:styleId="BalloonTextChar">
    <w:name w:val="Balloon Text Char"/>
    <w:basedOn w:val="DefaultParagraphFont"/>
    <w:link w:val="BalloonText"/>
    <w:uiPriority w:val="99"/>
    <w:semiHidden/>
    <w:rsid w:val="00F759B0"/>
    <w:rPr>
      <w:rFonts w:ascii="Tahoma" w:eastAsia="Times New Roman" w:hAnsi="Tahoma" w:cs="Tahoma"/>
      <w:sz w:val="16"/>
      <w:szCs w:val="16"/>
      <w:lang w:val="en-GB" w:eastAsia="en-GB"/>
    </w:rPr>
  </w:style>
  <w:style w:type="paragraph" w:styleId="BodyText">
    <w:name w:val="Body Text"/>
    <w:basedOn w:val="Normal"/>
    <w:link w:val="BodyTextChar"/>
    <w:uiPriority w:val="1"/>
    <w:unhideWhenUsed/>
    <w:qFormat/>
    <w:rsid w:val="00EF1EBE"/>
    <w:pPr>
      <w:widowControl w:val="0"/>
      <w:autoSpaceDE w:val="0"/>
      <w:autoSpaceDN w:val="0"/>
    </w:pPr>
    <w:rPr>
      <w:rFonts w:ascii="Calibri" w:eastAsia="Calibri" w:hAnsi="Calibri" w:cs="Calibri"/>
      <w:sz w:val="22"/>
      <w:szCs w:val="22"/>
      <w:lang w:val="en-US" w:eastAsia="en-US" w:bidi="en-US"/>
    </w:rPr>
  </w:style>
  <w:style w:type="character" w:customStyle="1" w:styleId="BodyTextChar">
    <w:name w:val="Body Text Char"/>
    <w:basedOn w:val="DefaultParagraphFont"/>
    <w:link w:val="BodyText"/>
    <w:uiPriority w:val="1"/>
    <w:rsid w:val="00EF1EBE"/>
    <w:rPr>
      <w:rFonts w:ascii="Calibri" w:eastAsia="Calibri" w:hAnsi="Calibri" w:cs="Calibri"/>
      <w:sz w:val="22"/>
      <w:szCs w:val="22"/>
      <w:lang w:bidi="en-US"/>
    </w:rPr>
  </w:style>
  <w:style w:type="character" w:customStyle="1" w:styleId="apple-converted-space">
    <w:name w:val="apple-converted-space"/>
    <w:basedOn w:val="DefaultParagraphFont"/>
    <w:rsid w:val="005D37E4"/>
  </w:style>
  <w:style w:type="character" w:styleId="Strong">
    <w:name w:val="Strong"/>
    <w:basedOn w:val="DefaultParagraphFont"/>
    <w:uiPriority w:val="22"/>
    <w:qFormat/>
    <w:rsid w:val="005D37E4"/>
    <w:rPr>
      <w:b/>
      <w:bCs/>
    </w:rPr>
  </w:style>
  <w:style w:type="character" w:styleId="Emphasis">
    <w:name w:val="Emphasis"/>
    <w:basedOn w:val="DefaultParagraphFont"/>
    <w:uiPriority w:val="20"/>
    <w:qFormat/>
    <w:rsid w:val="005D37E4"/>
    <w:rPr>
      <w:i/>
      <w:iCs/>
    </w:rPr>
  </w:style>
  <w:style w:type="character" w:customStyle="1" w:styleId="Heading1Char">
    <w:name w:val="Heading 1 Char"/>
    <w:basedOn w:val="DefaultParagraphFont"/>
    <w:link w:val="Heading1"/>
    <w:uiPriority w:val="1"/>
    <w:rsid w:val="002864E3"/>
    <w:rPr>
      <w:rFonts w:ascii="Arial" w:eastAsia="Arial" w:hAnsi="Arial" w:cs="Arial"/>
      <w:b/>
      <w:bCs/>
      <w:sz w:val="22"/>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373356">
      <w:bodyDiv w:val="1"/>
      <w:marLeft w:val="0"/>
      <w:marRight w:val="0"/>
      <w:marTop w:val="0"/>
      <w:marBottom w:val="0"/>
      <w:divBdr>
        <w:top w:val="none" w:sz="0" w:space="0" w:color="auto"/>
        <w:left w:val="none" w:sz="0" w:space="0" w:color="auto"/>
        <w:bottom w:val="none" w:sz="0" w:space="0" w:color="auto"/>
        <w:right w:val="none" w:sz="0" w:space="0" w:color="auto"/>
      </w:divBdr>
    </w:div>
    <w:div w:id="804469389">
      <w:bodyDiv w:val="1"/>
      <w:marLeft w:val="0"/>
      <w:marRight w:val="0"/>
      <w:marTop w:val="0"/>
      <w:marBottom w:val="0"/>
      <w:divBdr>
        <w:top w:val="none" w:sz="0" w:space="0" w:color="auto"/>
        <w:left w:val="none" w:sz="0" w:space="0" w:color="auto"/>
        <w:bottom w:val="none" w:sz="0" w:space="0" w:color="auto"/>
        <w:right w:val="none" w:sz="0" w:space="0" w:color="auto"/>
      </w:divBdr>
    </w:div>
    <w:div w:id="1624313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pape</dc:creator>
  <cp:lastModifiedBy>James Broxup</cp:lastModifiedBy>
  <cp:revision>3</cp:revision>
  <cp:lastPrinted>2024-09-03T07:30:00Z</cp:lastPrinted>
  <dcterms:created xsi:type="dcterms:W3CDTF">2024-09-06T15:50:00Z</dcterms:created>
  <dcterms:modified xsi:type="dcterms:W3CDTF">2024-09-06T15:50:00Z</dcterms:modified>
</cp:coreProperties>
</file>